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  <w:jc w:val="center"/>
      </w:pPr>
      <w:r>
        <w:rPr>
          <w:rFonts w:ascii="Arial Unicode MS" w:hAnsi="Arial Unicode MS" w:eastAsia="Arial Unicode MS"/>
          <w:b/>
          <w:color w:val="0F172A"/>
          <w:sz w:val="48"/>
        </w:rPr>
        <w:t>校园科技节竞赛须知</w:t>
      </w:r>
    </w:p>
    <w:p>
      <w:pPr>
        <w:spacing w:after="320"/>
        <w:jc w:val="center"/>
      </w:pPr>
      <w:r>
        <w:rPr>
          <w:rFonts w:ascii="Arial Unicode MS" w:hAnsi="Arial Unicode MS" w:eastAsia="Arial Unicode MS"/>
          <w:b w:val="0"/>
          <w:color w:val="475569"/>
          <w:sz w:val="20"/>
        </w:rPr>
        <w:t>起始素材：请依据任务书完成样式、多级编号、分节和表格排版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648"/>
            <w:tcMar>
              <w:top w:w="140" w:type="dxa"/>
              <w:start w:w="160" w:type="dxa"/>
              <w:bottom w:w="140" w:type="dxa"/>
              <w:end w:w="160" w:type="dxa"/>
            </w:tcMar>
            <w:shd w:fill="EFF6FF"/>
          </w:tcPr>
          <w:p>
            <w:r>
              <w:rPr>
                <w:rFonts w:ascii="Arial Unicode MS" w:hAnsi="Arial Unicode MS" w:eastAsia="Arial Unicode MS"/>
                <w:b/>
                <w:color w:val="1E40AF"/>
                <w:sz w:val="21"/>
              </w:rPr>
              <w:t>练习说明：红色段落是一级标题，蓝色段落是二级标题，绿色段落是三级标题。先不要直接改文字内容。</w:t>
            </w:r>
          </w:p>
        </w:tc>
      </w:tr>
    </w:tbl>
    <w:p/>
    <w:p>
      <w:pPr>
        <w:keepNext/>
        <w:spacing w:before="160" w:after="80"/>
      </w:pPr>
      <w:r>
        <w:rPr>
          <w:rFonts w:ascii="Arial Unicode MS" w:hAnsi="Arial Unicode MS" w:eastAsia="Arial Unicode MS"/>
          <w:b/>
          <w:color w:val="DC2626"/>
          <w:sz w:val="28"/>
        </w:rPr>
        <w:t>参赛安排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本届校园科技节面向全校学生开放，设置人工智能应用、数据分析和数字媒体三个赛道。参赛者须独立完成作品并按时提交。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2563EB"/>
          <w:sz w:val="24"/>
        </w:rPr>
        <w:t>报名与资格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每名学生只能选择一个赛道。报名信息提交后，应再次核对姓名、学号、联系方式和作品名称。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16A34A"/>
          <w:sz w:val="22"/>
        </w:rPr>
        <w:t>信息核对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发现信息错误时，应在报名截止前联系组委会，不得自行重复报名。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16A34A"/>
          <w:sz w:val="22"/>
        </w:rPr>
        <w:t>材料要求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作品说明书使用 PDF 格式，文件名由赛道、学号和姓名组成；演示文件须能在学校机房环境中正常打开。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2563EB"/>
          <w:sz w:val="24"/>
        </w:rPr>
        <w:t>时间节点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报名截止时间为 9 月 8 日 17:00；作品提交截止时间为 9 月 12 日 17:00；现场答辩安排另行通知。</w:t>
      </w:r>
    </w:p>
    <w:p>
      <w:pPr>
        <w:keepNext/>
        <w:spacing w:before="160" w:after="80"/>
      </w:pPr>
      <w:r>
        <w:rPr>
          <w:rFonts w:ascii="Arial Unicode MS" w:hAnsi="Arial Unicode MS" w:eastAsia="Arial Unicode MS"/>
          <w:b/>
          <w:color w:val="DC2626"/>
          <w:sz w:val="28"/>
        </w:rPr>
        <w:t>作品规范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2563EB"/>
          <w:sz w:val="24"/>
        </w:rPr>
        <w:t>内容与版权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作品应由参赛者独立完成。引用的数据、图片和代码应注明来源，不得包含未经授权的个人信息。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16A34A"/>
          <w:sz w:val="22"/>
        </w:rPr>
        <w:t>数据合规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使用公开数据集时，应保留数据来源链接和许可说明；使用自采数据时，应说明采集目的和匿名化方法。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16A34A"/>
          <w:sz w:val="22"/>
        </w:rPr>
        <w:t>展示要求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现场展示时间不超过八分钟，问答时间不超过五分钟。作品必须准备离线演示方案。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2563EB"/>
          <w:sz w:val="24"/>
        </w:rPr>
        <w:t>评分原则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评审重点包括问题价值、技术合理性、完成度、创新性和表达效果。最终得分按评委平均分计算。</w:t>
      </w:r>
    </w:p>
    <w:p>
      <w:pPr>
        <w:keepNext/>
        <w:spacing w:before="160" w:after="80"/>
      </w:pPr>
      <w:r>
        <w:rPr>
          <w:rFonts w:ascii="Arial Unicode MS" w:hAnsi="Arial Unicode MS" w:eastAsia="Arial Unicode MS"/>
          <w:b/>
          <w:color w:val="DC2626"/>
          <w:sz w:val="28"/>
        </w:rPr>
        <w:t>答辩与奖项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2563EB"/>
          <w:sz w:val="24"/>
        </w:rPr>
        <w:t>答辩流程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参赛者提前二十分钟到场签到，将演示文件复制到指定计算机并完成设备测试。迟到超过十分钟视为弃权。</w:t>
      </w:r>
    </w:p>
    <w:p>
      <w:pPr>
        <w:keepNext/>
        <w:spacing w:before="80" w:after="80"/>
      </w:pPr>
      <w:r>
        <w:rPr>
          <w:rFonts w:ascii="Arial Unicode MS" w:hAnsi="Arial Unicode MS" w:eastAsia="Arial Unicode MS"/>
          <w:b/>
          <w:color w:val="2563EB"/>
          <w:sz w:val="24"/>
        </w:rPr>
        <w:t>奖项设置</w:t>
      </w:r>
    </w:p>
    <w:p>
      <w:pPr>
        <w:ind w:firstLine="418"/>
        <w:jc w:val="both"/>
      </w:pPr>
      <w:r>
        <w:rPr>
          <w:rFonts w:ascii="Arial Unicode MS" w:hAnsi="Arial Unicode MS" w:eastAsia="Arial Unicode MS"/>
          <w:b w:val="0"/>
          <w:sz w:val="22"/>
        </w:rPr>
        <w:t>每个赛道设置一等奖、二等奖和三等奖。获奖名单将在评审结束后三个工作日内公布。</w:t>
      </w:r>
    </w:p>
    <w:p>
      <w:r>
        <w:br w:type="page"/>
      </w:r>
    </w:p>
    <w:p>
      <w:r>
        <w:rPr>
          <w:rFonts w:ascii="Arial Unicode MS" w:hAnsi="Arial Unicode MS" w:eastAsia="Arial Unicode MS"/>
          <w:b/>
          <w:color w:val="DC2626"/>
          <w:sz w:val="28"/>
        </w:rPr>
        <w:t>评分项目与权重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312"/>
        <w:gridCol w:w="4176"/>
        <w:gridCol w:w="1872"/>
      </w:tblGrid>
      <w:tr>
        <w:tc>
          <w:tcPr>
            <w:tcW w:type="dxa" w:w="3216"/>
            <w:tcMar>
              <w:top w:w="100" w:type="dxa"/>
              <w:start w:w="120" w:type="dxa"/>
              <w:bottom w:w="100" w:type="dxa"/>
              <w:end w:w="120" w:type="dxa"/>
            </w:tcMar>
            <w:shd w:fill="DCE6F1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sz w:val="22"/>
              </w:rPr>
              <w:t>评分项目</w:t>
            </w:r>
          </w:p>
        </w:tc>
        <w:tc>
          <w:tcPr>
            <w:tcW w:type="dxa" w:w="3216"/>
            <w:tcMar>
              <w:top w:w="100" w:type="dxa"/>
              <w:start w:w="120" w:type="dxa"/>
              <w:bottom w:w="100" w:type="dxa"/>
              <w:end w:w="120" w:type="dxa"/>
            </w:tcMar>
            <w:shd w:fill="DCE6F1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sz w:val="22"/>
              </w:rPr>
              <w:t>说明</w:t>
            </w:r>
          </w:p>
        </w:tc>
        <w:tc>
          <w:tcPr>
            <w:tcW w:type="dxa" w:w="3216"/>
            <w:tcMar>
              <w:top w:w="100" w:type="dxa"/>
              <w:start w:w="120" w:type="dxa"/>
              <w:bottom w:w="100" w:type="dxa"/>
              <w:end w:w="120" w:type="dxa"/>
            </w:tcMar>
            <w:shd w:fill="DCE6F1"/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/>
                <w:sz w:val="22"/>
              </w:rPr>
              <w:t>权重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问题价值</w:t>
            </w:r>
          </w:p>
        </w:tc>
        <w:tc>
          <w:tcPr>
            <w:tcW w:type="dxa" w:w="417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问题定义清楚，具有现实意义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20%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技术合理性</w:t>
            </w:r>
          </w:p>
        </w:tc>
        <w:tc>
          <w:tcPr>
            <w:tcW w:type="dxa" w:w="417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方法选择恰当，过程可解释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25%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完成度</w:t>
            </w:r>
          </w:p>
        </w:tc>
        <w:tc>
          <w:tcPr>
            <w:tcW w:type="dxa" w:w="417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核心功能可运行，结果可复现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25%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创新性</w:t>
            </w:r>
          </w:p>
        </w:tc>
        <w:tc>
          <w:tcPr>
            <w:tcW w:type="dxa" w:w="417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具备有意义的改进或新视角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15%</w:t>
            </w:r>
          </w:p>
        </w:tc>
      </w:tr>
      <w:tr>
        <w:tc>
          <w:tcPr>
            <w:tcW w:type="dxa" w:w="331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表达效果</w:t>
            </w:r>
          </w:p>
        </w:tc>
        <w:tc>
          <w:tcPr>
            <w:tcW w:type="dxa" w:w="4176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结构清晰，演示流畅，回答准确</w:t>
            </w:r>
          </w:p>
        </w:tc>
        <w:tc>
          <w:tcPr>
            <w:tcW w:type="dxa" w:w="1872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center"/>
            </w:pPr>
            <w:r>
              <w:rPr>
                <w:rFonts w:ascii="Arial Unicode MS" w:hAnsi="Arial Unicode MS" w:eastAsia="Arial Unicode MS"/>
                <w:b w:val="0"/>
                <w:sz w:val="22"/>
              </w:rPr>
              <w:t>15%</w:t>
            </w:r>
          </w:p>
        </w:tc>
      </w:tr>
    </w:tbl>
    <w:p>
      <w:pPr>
        <w:spacing w:before="200"/>
      </w:pPr>
      <w:r>
        <w:rPr>
          <w:rFonts w:ascii="Arial Unicode MS" w:hAnsi="Arial Unicode MS" w:eastAsia="Arial Unicode MS"/>
          <w:b w:val="0"/>
          <w:color w:val="475569"/>
          <w:sz w:val="20"/>
        </w:rPr>
        <w:t>联系组委会：techfest@example.edu.cn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52" w:right="1296" w:bottom="1152" w:left="1296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 Unicode MS" w:hAnsi="Arial Unicode MS" w:eastAsia="Arial Unicode MS"/>
        <w:b w:val="0"/>
        <w:color w:val="64748B"/>
        <w:sz w:val="17"/>
      </w:rPr>
      <w:t>按官方样题考点改编 · 非官方真题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 Unicode MS" w:hAnsi="Arial Unicode MS" w:eastAsia="Arial Unicode MS"/>
        <w:b w:val="0"/>
        <w:color w:val="64748B"/>
        <w:sz w:val="18"/>
      </w:rPr>
      <w:t>NCRE 二级 MS Office · Word 练习素材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 Unicode MS" w:hAnsi="Arial Unicode MS" w:eastAsia="Arial Unicode MS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 Unicode MS" w:hAnsi="Arial Unicode MS" w:eastAsia="Arial Unicode MS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NCRE MS Office Word 01 长文档排版起始素材</dc:title>
  <dc:subject>按官方样题考点改编的练习素材</dc:subject>
  <dc:creator>NCRE 备考资料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